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inicial de conducción y liderazgo en la especialidad.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el propósito de fortalecer y actualizar las competencias profesionales del personal policial dentro de la especialidad en comunicaciones, se pretende desarrollar saberes que permitan afianzar las acciones en equipo con miras a lograr mejores resultados en los procesos y crear ambientes de trabajo motivadores. Liderar equipos es también saber incorporar nuevas tecnologías y herramientas de gestión para el fortalecimiento de buenas prácticas. Para construir un modelo ideal de liderazgo y conducción, las acciones deben estar enmarcadas dentro de los principios activos, democráticos y participativos, con el fin de mejorar la interacción de cada equipo de trabajo y a su vez con otras áreas, en un contexto de colaboración en pos del desarrollo individual y colectivo de todos los integrantes sin distinción de cargos, funciones y objetivos.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dirigida al personal policial perteneciente a la Superintendencia de Comunicaciones del Subescalafón Comando, Profesional, Administrativo y Técnico con jerarquías de Oficial Inspector, Oficial Principal y Subcomisario.</w:t>
      </w:r>
    </w:p>
    <w:p w:rsidR="00000000" w:rsidDel="00000000" w:rsidP="00000000" w:rsidRDefault="00000000" w:rsidRPr="00000000" w14:paraId="00000008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26 horas reloj.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ind w:left="1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1º Edición: del 24 de abril al 17 de julio de 2025. 2º Edición: del 4 de septiembre al 27 de noviembre de 2025.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2"/>
        </w:tabs>
        <w:spacing w:after="0" w:before="42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 por edición.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luis.ramos@mseg.gba.gov.ar.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221-4293400 Interno: 73400.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1D65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65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ehZI3W3SrQHHx7R1qipCC8tKQ==">CgMxLjA4AHIhMTdlRFp5aF9xaTFCSVNEV1V1RERkeXBBZmIwSTZ6aV80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2025-05-08T05:20:00Z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